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52F60" w14:textId="036E7326" w:rsidR="001725AE" w:rsidRPr="001725AE" w:rsidRDefault="001725AE" w:rsidP="00172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What is Secondary condition and how to file</w:t>
      </w:r>
      <w:bookmarkStart w:id="0" w:name="_GoBack"/>
      <w:bookmarkEnd w:id="0"/>
    </w:p>
    <w:p w14:paraId="6C97460C" w14:textId="77777777" w:rsidR="001725AE" w:rsidRDefault="001725AE" w:rsidP="001725AE">
      <w:pPr>
        <w:rPr>
          <w:rFonts w:ascii="Times New Roman" w:hAnsi="Times New Roman" w:cs="Times New Roman"/>
          <w:sz w:val="24"/>
          <w:szCs w:val="24"/>
        </w:rPr>
      </w:pPr>
    </w:p>
    <w:p w14:paraId="026721D7" w14:textId="77777777" w:rsidR="001725AE" w:rsidRDefault="001725AE" w:rsidP="00172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veterans are not aware of secondary conditions and they often go unclaimed! Secondary conditions are often rated higher than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service connected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condition. There is no limit to the number of secondary conditions you can claim for any </w:t>
      </w:r>
      <w:proofErr w:type="gramStart"/>
      <w:r>
        <w:rPr>
          <w:rFonts w:ascii="Times New Roman" w:hAnsi="Times New Roman" w:cs="Times New Roman"/>
          <w:sz w:val="24"/>
          <w:szCs w:val="24"/>
        </w:rPr>
        <w:t>service connected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condition. You can also claim secondary conditions of secondary conditions!</w:t>
      </w:r>
    </w:p>
    <w:p w14:paraId="4989E2BD" w14:textId="77777777" w:rsidR="001725AE" w:rsidRDefault="001725AE" w:rsidP="001725AE">
      <w:pPr>
        <w:rPr>
          <w:rFonts w:ascii="Times New Roman" w:hAnsi="Times New Roman" w:cs="Times New Roman"/>
          <w:sz w:val="24"/>
          <w:szCs w:val="24"/>
        </w:rPr>
      </w:pPr>
    </w:p>
    <w:p w14:paraId="49CC37E4" w14:textId="77777777" w:rsidR="001725AE" w:rsidRDefault="001725AE" w:rsidP="001725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What is Secondary condition and how to file?</w:t>
      </w:r>
    </w:p>
    <w:p w14:paraId="3A88FE65" w14:textId="77777777" w:rsidR="001725AE" w:rsidRDefault="001725AE" w:rsidP="001725AE">
      <w:pPr>
        <w:rPr>
          <w:rFonts w:ascii="Times New Roman" w:hAnsi="Times New Roman" w:cs="Times New Roman"/>
          <w:sz w:val="24"/>
          <w:szCs w:val="24"/>
        </w:rPr>
      </w:pPr>
    </w:p>
    <w:p w14:paraId="349436FE" w14:textId="77777777" w:rsidR="001725AE" w:rsidRDefault="001725AE" w:rsidP="00172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Secondary</w:t>
      </w:r>
      <w:r>
        <w:rPr>
          <w:rFonts w:ascii="Times New Roman" w:hAnsi="Times New Roman" w:cs="Times New Roman"/>
          <w:sz w:val="24"/>
          <w:szCs w:val="24"/>
        </w:rPr>
        <w:t>: If you have a diagnosis, and a doctor says that your diagnosis is at least as likely as not a result of your service-connected condition, then you need not establish an in-service event or aggravation.</w:t>
      </w:r>
    </w:p>
    <w:p w14:paraId="350E80FF" w14:textId="77777777" w:rsidR="001725AE" w:rsidRDefault="001725AE" w:rsidP="001725AE">
      <w:pPr>
        <w:rPr>
          <w:rFonts w:ascii="Times New Roman" w:hAnsi="Times New Roman" w:cs="Times New Roman"/>
          <w:sz w:val="24"/>
          <w:szCs w:val="24"/>
        </w:rPr>
      </w:pPr>
    </w:p>
    <w:p w14:paraId="08777E7F" w14:textId="77777777" w:rsidR="001725AE" w:rsidRDefault="001725AE" w:rsidP="00172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you file a claim or continue with your appeal, please understand what the VA needs to approve any claim.</w:t>
      </w:r>
    </w:p>
    <w:p w14:paraId="6B3C8907" w14:textId="77777777" w:rsidR="001725AE" w:rsidRDefault="001725AE" w:rsidP="001725A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Any condition claimed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has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 MEDICALLY documented in your records:</w:t>
      </w:r>
    </w:p>
    <w:p w14:paraId="0C61C8E8" w14:textId="77777777" w:rsidR="001725AE" w:rsidRDefault="001725AE" w:rsidP="001725A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Diagnosis.   (No diagnosis, no Service Connection.)</w:t>
      </w:r>
    </w:p>
    <w:p w14:paraId="1E652D65" w14:textId="77777777" w:rsidR="001725AE" w:rsidRDefault="001725AE" w:rsidP="001725A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Service Event or Aggravation.</w:t>
      </w:r>
    </w:p>
    <w:p w14:paraId="2A8B4F9D" w14:textId="77777777" w:rsidR="001725AE" w:rsidRDefault="001725AE" w:rsidP="001725A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Nexus is the link (cause and effect) to connect to your service. A diagnosis during active duty and clear continuity of care or complaints since discharge. If you do not have a clear nexus, you may obtain that nexus…a connection… by obtaining a doctor’s written statement that says that your condition is at least as likely as not (50% chance or greater) due to X event in military service or a previously connected condition.</w:t>
      </w:r>
    </w:p>
    <w:p w14:paraId="3D79FE4C" w14:textId="77777777" w:rsidR="001725AE" w:rsidRDefault="001725AE" w:rsidP="001725AE">
      <w:pPr>
        <w:rPr>
          <w:rFonts w:ascii="Times New Roman" w:hAnsi="Times New Roman" w:cs="Times New Roman"/>
          <w:sz w:val="24"/>
          <w:szCs w:val="24"/>
        </w:rPr>
      </w:pPr>
    </w:p>
    <w:p w14:paraId="0C1D6F4C" w14:textId="77777777" w:rsidR="001725AE" w:rsidRDefault="001725AE" w:rsidP="00172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If veteran has Service-connected Diabetics and taking medication it’s rated 20%, if insulin with regulation in daily activities is 40%.</w:t>
      </w:r>
    </w:p>
    <w:p w14:paraId="6043673C" w14:textId="77777777" w:rsidR="001725AE" w:rsidRDefault="001725AE" w:rsidP="00172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condition: Diabetes can cause below secondary condition:</w:t>
      </w:r>
    </w:p>
    <w:p w14:paraId="14DC6495" w14:textId="77777777" w:rsidR="001725AE" w:rsidRDefault="001725AE" w:rsidP="00172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 Numbness/tingling in hand, legs, Feet, Arms etc., this is called peripheral neuropathy. Diagnosed can be done by EMG (Electromyogram)/NCS (Nerve Conduction Study) by requesting your PCM. (can give multiple rating depending on body part from 10 to 40 % range</w:t>
      </w:r>
    </w:p>
    <w:p w14:paraId="660B5E4D" w14:textId="77777777" w:rsidR="001725AE" w:rsidRDefault="001725AE" w:rsidP="00172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 Frequent Urination à this will affect your sleep and that in turn affects your ability to do jobs (can give 10 to 40% disability range)</w:t>
      </w:r>
    </w:p>
    <w:p w14:paraId="5D2D9653" w14:textId="77777777" w:rsidR="001725AE" w:rsidRDefault="001725AE" w:rsidP="00172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 Loss of Kidney function – Can be diagnosed through Lab/blood test (Can give 40 to 80% disability range)</w:t>
      </w:r>
    </w:p>
    <w:p w14:paraId="38ECCCA3" w14:textId="77777777" w:rsidR="001725AE" w:rsidRDefault="001725AE" w:rsidP="00172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 Heart Diseases and Attacks – May be result of your diabetic condition</w:t>
      </w:r>
    </w:p>
    <w:p w14:paraId="6F7364ED" w14:textId="77777777" w:rsidR="001725AE" w:rsidRDefault="001725AE" w:rsidP="00172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 Glaucoma etc.</w:t>
      </w:r>
    </w:p>
    <w:p w14:paraId="38F3BE87" w14:textId="77777777" w:rsidR="001725AE" w:rsidRDefault="001725AE" w:rsidP="001725AE">
      <w:pPr>
        <w:rPr>
          <w:rFonts w:ascii="Times New Roman" w:hAnsi="Times New Roman" w:cs="Times New Roman"/>
          <w:sz w:val="24"/>
          <w:szCs w:val="24"/>
        </w:rPr>
      </w:pPr>
    </w:p>
    <w:p w14:paraId="79E10034" w14:textId="77777777" w:rsidR="001725AE" w:rsidRDefault="001725AE" w:rsidP="00172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see any secondary condition disability than follow below before filing this will give leg work and great chance:</w:t>
      </w:r>
    </w:p>
    <w:p w14:paraId="47D1CFD0" w14:textId="77777777" w:rsidR="001725AE" w:rsidRDefault="001725AE" w:rsidP="001725AE">
      <w:pPr>
        <w:rPr>
          <w:rFonts w:ascii="Times New Roman" w:hAnsi="Times New Roman" w:cs="Times New Roman"/>
          <w:sz w:val="24"/>
          <w:szCs w:val="24"/>
        </w:rPr>
      </w:pPr>
    </w:p>
    <w:p w14:paraId="571E4164" w14:textId="77777777" w:rsidR="001725AE" w:rsidRDefault="001725AE" w:rsidP="00172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 Have formal diagnosis with doctor? Make sure to link the issue with primary</w:t>
      </w:r>
    </w:p>
    <w:p w14:paraId="3EBF8992" w14:textId="77777777" w:rsidR="001725AE" w:rsidRDefault="001725AE" w:rsidP="00172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 Get continuity of treatment</w:t>
      </w:r>
    </w:p>
    <w:p w14:paraId="550D83A0" w14:textId="77777777" w:rsidR="001725AE" w:rsidRDefault="001725AE" w:rsidP="00172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Get Nexus Letter (IMPORTANT) – It proves the condition caused or aggravated by secondary condition. The letter is needed from medical professional. </w:t>
      </w:r>
    </w:p>
    <w:p w14:paraId="027F65F3" w14:textId="77777777" w:rsidR="001725AE" w:rsidRDefault="001725AE" w:rsidP="00172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Here is format: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http://www.vcag.info/The_Nexus_Letter</w:t>
        </w:r>
      </w:hyperlink>
    </w:p>
    <w:p w14:paraId="6C76C011" w14:textId="77777777" w:rsidR="001725AE" w:rsidRDefault="001725AE" w:rsidP="001725AE">
      <w:pPr>
        <w:rPr>
          <w:rFonts w:ascii="Times New Roman" w:hAnsi="Times New Roman" w:cs="Times New Roman"/>
          <w:sz w:val="24"/>
          <w:szCs w:val="24"/>
        </w:rPr>
      </w:pPr>
    </w:p>
    <w:p w14:paraId="22B32D23" w14:textId="77777777" w:rsidR="001725AE" w:rsidRDefault="001725AE" w:rsidP="00172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 Your statement explaining, how primary condition caused secondary, impact on life, work, relationship etc.</w:t>
      </w:r>
    </w:p>
    <w:p w14:paraId="4ED763EB" w14:textId="77777777" w:rsidR="001725AE" w:rsidRDefault="001725AE" w:rsidP="00172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 Statement from your spouse or anyone who can provide (optional)</w:t>
      </w:r>
    </w:p>
    <w:p w14:paraId="3820FDCC" w14:textId="77777777" w:rsidR="001725AE" w:rsidRDefault="001725AE" w:rsidP="00172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 Than file.</w:t>
      </w:r>
    </w:p>
    <w:p w14:paraId="64B54343" w14:textId="77777777" w:rsidR="001725AE" w:rsidRDefault="001725AE" w:rsidP="001725AE">
      <w:pPr>
        <w:rPr>
          <w:rFonts w:ascii="Times New Roman" w:hAnsi="Times New Roman" w:cs="Times New Roman"/>
          <w:sz w:val="24"/>
          <w:szCs w:val="24"/>
        </w:rPr>
      </w:pPr>
    </w:p>
    <w:p w14:paraId="18E25E79" w14:textId="77777777" w:rsidR="001725AE" w:rsidRDefault="001725AE" w:rsidP="001725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 examples:</w:t>
      </w:r>
    </w:p>
    <w:p w14:paraId="3F4F0878" w14:textId="77777777" w:rsidR="001725AE" w:rsidRDefault="001725AE" w:rsidP="00172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 Tinnitus can cause secondary conditions like headaches, Insomnia, depression, anxiety etc.</w:t>
      </w:r>
    </w:p>
    <w:p w14:paraId="5604CC7E" w14:textId="77777777" w:rsidR="001725AE" w:rsidRDefault="001725AE" w:rsidP="00172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 Lower back can cause secondary conditions like Knee pain, Leg pain, Pinched nerve, radiculopathy </w:t>
      </w:r>
    </w:p>
    <w:p w14:paraId="1125E301" w14:textId="77777777" w:rsidR="001725AE" w:rsidRDefault="001725AE" w:rsidP="00172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 Headaches can cause depression, anxiety etc.</w:t>
      </w:r>
    </w:p>
    <w:p w14:paraId="7582600C" w14:textId="77777777" w:rsidR="001725AE" w:rsidRDefault="001725AE" w:rsidP="00172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 OSA, Sleep Apnea can cause Congestive Heart Failure, Stroke, Hypertension, Diabetes Type II, Headaches, Vertigo, Gerd, etc.,</w:t>
      </w:r>
    </w:p>
    <w:p w14:paraId="25AB9F87" w14:textId="77777777" w:rsidR="001725AE" w:rsidRDefault="001725AE" w:rsidP="00172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 Modified gait due to a hip, knee or foot condition can cause secondary conditions to the connecting joints or opposing joints.</w:t>
      </w:r>
    </w:p>
    <w:p w14:paraId="4413B890" w14:textId="77777777" w:rsidR="001725AE" w:rsidRDefault="001725AE" w:rsidP="001725AE">
      <w:pPr>
        <w:rPr>
          <w:rFonts w:ascii="Times New Roman" w:hAnsi="Times New Roman" w:cs="Times New Roman"/>
          <w:sz w:val="24"/>
          <w:szCs w:val="24"/>
        </w:rPr>
      </w:pPr>
    </w:p>
    <w:p w14:paraId="439C40D5" w14:textId="77777777" w:rsidR="001725AE" w:rsidRDefault="001725AE" w:rsidP="001725AE">
      <w:pPr>
        <w:rPr>
          <w:rFonts w:ascii="Times New Roman" w:hAnsi="Times New Roman" w:cs="Times New Roman"/>
          <w:sz w:val="24"/>
          <w:szCs w:val="24"/>
        </w:rPr>
      </w:pPr>
    </w:p>
    <w:p w14:paraId="5C700105" w14:textId="77777777" w:rsidR="001725AE" w:rsidRDefault="001725AE" w:rsidP="00172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S. </w:t>
      </w:r>
    </w:p>
    <w:p w14:paraId="4FE40E42" w14:textId="77777777" w:rsidR="001725AE" w:rsidRDefault="001725AE" w:rsidP="001725AE"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5CE78A56" wp14:editId="39B2FCC1">
            <wp:extent cx="725805" cy="665480"/>
            <wp:effectExtent l="0" t="0" r="0" b="1270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3D3F6" w14:textId="77777777" w:rsidR="009067CE" w:rsidRDefault="009067CE"/>
    <w:sectPr w:rsidR="00906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46A06"/>
    <w:multiLevelType w:val="hybridMultilevel"/>
    <w:tmpl w:val="23E0A5BC"/>
    <w:lvl w:ilvl="0" w:tplc="BFD85FB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725AE"/>
    <w:rsid w:val="001725AE"/>
    <w:rsid w:val="0090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E7D3D"/>
  <w15:chartTrackingRefBased/>
  <w15:docId w15:val="{4168D4A3-739E-4A66-903A-26E208B9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25A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25A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725A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553C.5A38F8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hud.gov/hudportal/HUD?src=/program_offices/public_indian_housing/post" TargetMode="External"/><Relationship Id="rId5" Type="http://schemas.openxmlformats.org/officeDocument/2006/relationships/hyperlink" Target="http://www.vcag.info/The_Nexus_Lett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 Stanley</dc:creator>
  <cp:keywords/>
  <dc:description/>
  <cp:lastModifiedBy>Walker Stanley</cp:lastModifiedBy>
  <cp:revision>1</cp:revision>
  <dcterms:created xsi:type="dcterms:W3CDTF">2020-07-27T12:41:00Z</dcterms:created>
  <dcterms:modified xsi:type="dcterms:W3CDTF">2020-07-27T12:52:00Z</dcterms:modified>
</cp:coreProperties>
</file>